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86C0F" w14:textId="07500AFD" w:rsidR="00B23A21" w:rsidRPr="00B12E3B" w:rsidRDefault="00522B9D" w:rsidP="00522B9D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  <w:lang w:val="zh-TW" w:eastAsia="zh-TW"/>
        </w:rPr>
      </w:pPr>
      <w:bookmarkStart w:id="0" w:name="_Toc35520633"/>
      <w:bookmarkStart w:id="1" w:name="_GoBack"/>
      <w:bookmarkEnd w:id="1"/>
      <w:r w:rsidRPr="00B12E3B">
        <w:rPr>
          <w:rFonts w:asciiTheme="minorEastAsia" w:eastAsiaTheme="minorEastAsia" w:hAnsiTheme="minorEastAsia" w:hint="eastAsia"/>
          <w:b/>
          <w:bCs/>
          <w:sz w:val="24"/>
          <w:szCs w:val="24"/>
        </w:rPr>
        <w:t>表界面分子科学</w:t>
      </w:r>
      <w:bookmarkEnd w:id="0"/>
    </w:p>
    <w:p w14:paraId="64DFE1A4" w14:textId="77777777" w:rsidR="00664225" w:rsidRDefault="00664225" w:rsidP="00B23A21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  <w:lang w:val="zh-TW"/>
        </w:rPr>
      </w:pPr>
      <w:bookmarkStart w:id="2" w:name="_Toc35520634"/>
    </w:p>
    <w:p w14:paraId="11C6439C" w14:textId="6E5F9B90" w:rsidR="00B23A21" w:rsidRPr="00B12E3B" w:rsidRDefault="00522B9D" w:rsidP="00B23A21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  <w:r w:rsidRPr="00B12E3B">
        <w:rPr>
          <w:rFonts w:asciiTheme="minorEastAsia" w:eastAsiaTheme="minorEastAsia" w:hAnsiTheme="minorEastAsia" w:hint="eastAsia"/>
          <w:b/>
          <w:bCs/>
          <w:sz w:val="24"/>
          <w:szCs w:val="24"/>
          <w:lang w:val="zh-TW"/>
        </w:rPr>
        <w:t>迟力峰</w:t>
      </w:r>
      <w:bookmarkEnd w:id="2"/>
    </w:p>
    <w:p w14:paraId="7E1C6812" w14:textId="3F9732A6" w:rsidR="00B23A21" w:rsidRPr="00B12E3B" w:rsidRDefault="00522B9D" w:rsidP="00B23A21">
      <w:pPr>
        <w:jc w:val="center"/>
        <w:rPr>
          <w:rFonts w:asciiTheme="minorEastAsia" w:eastAsiaTheme="minorEastAsia" w:hAnsiTheme="minorEastAsia"/>
          <w:sz w:val="24"/>
          <w:szCs w:val="24"/>
        </w:rPr>
      </w:pPr>
      <w:bookmarkStart w:id="3" w:name="_Toc35520635"/>
      <w:r w:rsidRPr="00B12E3B">
        <w:rPr>
          <w:rFonts w:asciiTheme="minorEastAsia" w:eastAsiaTheme="minorEastAsia" w:hAnsiTheme="minorEastAsia" w:hint="eastAsia"/>
          <w:sz w:val="24"/>
          <w:szCs w:val="24"/>
          <w:lang w:val="zh-TW"/>
        </w:rPr>
        <w:t>苏州大学功能纳米与软物质研究院</w:t>
      </w:r>
      <w:r w:rsidR="00B23A21" w:rsidRPr="00B12E3B">
        <w:rPr>
          <w:rFonts w:asciiTheme="minorEastAsia" w:eastAsiaTheme="minorEastAsia" w:hAnsiTheme="minorEastAsia" w:hint="eastAsia"/>
          <w:sz w:val="24"/>
          <w:szCs w:val="24"/>
          <w:lang w:val="zh-TW"/>
        </w:rPr>
        <w:t>，</w:t>
      </w:r>
      <w:r w:rsidRPr="00B12E3B">
        <w:rPr>
          <w:rFonts w:asciiTheme="minorEastAsia" w:eastAsiaTheme="minorEastAsia" w:hAnsiTheme="minorEastAsia" w:hint="eastAsia"/>
          <w:sz w:val="24"/>
          <w:szCs w:val="24"/>
          <w:lang w:val="zh-TW"/>
        </w:rPr>
        <w:t xml:space="preserve">江苏苏州 </w:t>
      </w:r>
      <w:r w:rsidRPr="00B12E3B">
        <w:rPr>
          <w:rFonts w:asciiTheme="minorEastAsia" w:eastAsiaTheme="minorEastAsia" w:hAnsiTheme="minorEastAsia"/>
          <w:sz w:val="24"/>
          <w:szCs w:val="24"/>
          <w:lang w:val="zh-TW" w:eastAsia="zh-TW"/>
        </w:rPr>
        <w:t>215123</w:t>
      </w:r>
      <w:bookmarkEnd w:id="3"/>
    </w:p>
    <w:p w14:paraId="22D187C8" w14:textId="77777777" w:rsidR="00B23A21" w:rsidRPr="00B12E3B" w:rsidRDefault="00B23A21" w:rsidP="00B23A21">
      <w:pPr>
        <w:jc w:val="center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18D0AE7" w14:textId="18BD7872" w:rsidR="00B23A21" w:rsidRPr="00B12E3B" w:rsidRDefault="00B12E3B" w:rsidP="00B23A21">
      <w:pPr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  <w:bookmarkStart w:id="4" w:name="_Toc35520637"/>
      <w:r w:rsidRPr="00B12E3B">
        <w:rPr>
          <w:rFonts w:asciiTheme="minorEastAsia" w:eastAsiaTheme="minorEastAsia" w:hAnsiTheme="minorEastAsia" w:hint="eastAsia"/>
          <w:sz w:val="24"/>
          <w:szCs w:val="24"/>
        </w:rPr>
        <w:t>表界面作为载体和参与者，为超分子化学和化学反应</w:t>
      </w:r>
      <w:r w:rsidRPr="00B12E3B">
        <w:rPr>
          <w:rFonts w:asciiTheme="minorEastAsia" w:eastAsiaTheme="minorEastAsia" w:hAnsiTheme="minorEastAsia"/>
          <w:sz w:val="24"/>
          <w:szCs w:val="24"/>
        </w:rPr>
        <w:t>分</w:t>
      </w:r>
      <w:r w:rsidRPr="00B12E3B">
        <w:rPr>
          <w:rFonts w:asciiTheme="minorEastAsia" w:eastAsiaTheme="minorEastAsia" w:hAnsiTheme="minorEastAsia" w:hint="eastAsia"/>
          <w:sz w:val="24"/>
          <w:szCs w:val="24"/>
        </w:rPr>
        <w:t>提供了特殊的环境</w:t>
      </w:r>
      <w:r w:rsidR="004C5025">
        <w:rPr>
          <w:rFonts w:asciiTheme="minorEastAsia" w:eastAsiaTheme="minorEastAsia" w:hAnsiTheme="minorEastAsia" w:hint="eastAsia"/>
          <w:sz w:val="24"/>
          <w:szCs w:val="24"/>
        </w:rPr>
        <w:t>，并使</w:t>
      </w:r>
      <w:r w:rsidRPr="00B12E3B">
        <w:rPr>
          <w:rFonts w:asciiTheme="minorEastAsia" w:eastAsiaTheme="minorEastAsia" w:hAnsiTheme="minorEastAsia" w:hint="eastAsia"/>
          <w:sz w:val="24"/>
          <w:szCs w:val="24"/>
        </w:rPr>
        <w:t>实空间、高分辨成像的</w:t>
      </w:r>
      <w:r w:rsidR="004C5025">
        <w:rPr>
          <w:rFonts w:asciiTheme="minorEastAsia" w:eastAsiaTheme="minorEastAsia" w:hAnsiTheme="minorEastAsia" w:hint="eastAsia"/>
          <w:sz w:val="24"/>
          <w:szCs w:val="24"/>
        </w:rPr>
        <w:t>成为</w:t>
      </w:r>
      <w:r w:rsidRPr="00B12E3B">
        <w:rPr>
          <w:rFonts w:asciiTheme="minorEastAsia" w:eastAsiaTheme="minorEastAsia" w:hAnsiTheme="minorEastAsia" w:hint="eastAsia"/>
          <w:sz w:val="24"/>
          <w:szCs w:val="24"/>
        </w:rPr>
        <w:t>可能。</w:t>
      </w:r>
      <w:bookmarkEnd w:id="4"/>
      <w:r w:rsidR="005077A5" w:rsidRPr="00B12E3B">
        <w:rPr>
          <w:rFonts w:asciiTheme="minorEastAsia" w:eastAsiaTheme="minorEastAsia" w:hAnsiTheme="minorEastAsia" w:hint="eastAsia"/>
          <w:sz w:val="24"/>
          <w:szCs w:val="24"/>
        </w:rPr>
        <w:t>超分子化学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664225">
        <w:rPr>
          <w:rFonts w:asciiTheme="minorEastAsia" w:eastAsiaTheme="minorEastAsia" w:hAnsiTheme="minorEastAsia" w:hint="eastAsia"/>
          <w:sz w:val="24"/>
          <w:szCs w:val="24"/>
        </w:rPr>
        <w:t>研究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利用氢键、</w:t>
      </w:r>
      <w:r w:rsidR="00664225">
        <w:rPr>
          <w:rFonts w:asciiTheme="minorEastAsia" w:eastAsiaTheme="minorEastAsia" w:hAnsiTheme="minorEastAsia" w:hint="eastAsia"/>
          <w:sz w:val="24"/>
          <w:szCs w:val="24"/>
        </w:rPr>
        <w:t>范德华力、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金属有机配位等</w:t>
      </w:r>
      <w:r w:rsidR="005C1F52" w:rsidRPr="00B12E3B">
        <w:rPr>
          <w:rFonts w:asciiTheme="minorEastAsia" w:eastAsiaTheme="minorEastAsia" w:hAnsiTheme="minorEastAsia"/>
          <w:sz w:val="24"/>
          <w:szCs w:val="24"/>
        </w:rPr>
        <w:t>较弱相互作用</w:t>
      </w:r>
      <w:r w:rsidR="005077A5" w:rsidRPr="00B12E3B">
        <w:rPr>
          <w:rFonts w:asciiTheme="minorEastAsia" w:eastAsiaTheme="minorEastAsia" w:hAnsiTheme="minorEastAsia" w:hint="eastAsia"/>
          <w:sz w:val="24"/>
          <w:szCs w:val="24"/>
        </w:rPr>
        <w:t>，通过分子自组装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来形成有序结构</w:t>
      </w:r>
      <w:r w:rsidR="00664225">
        <w:rPr>
          <w:rFonts w:asciiTheme="minorEastAsia" w:eastAsiaTheme="minorEastAsia" w:hAnsiTheme="minorEastAsia" w:hint="eastAsia"/>
          <w:sz w:val="24"/>
          <w:szCs w:val="24"/>
        </w:rPr>
        <w:t>；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而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是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表面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在位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化学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则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通过分子间或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分子内的</w:t>
      </w:r>
      <w:r w:rsidR="005C1F52" w:rsidRPr="00B12E3B">
        <w:rPr>
          <w:rFonts w:asciiTheme="minorEastAsia" w:eastAsiaTheme="minorEastAsia" w:hAnsiTheme="minorEastAsia" w:hint="eastAsia"/>
          <w:sz w:val="24"/>
          <w:szCs w:val="24"/>
        </w:rPr>
        <w:t>共价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反应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，制备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结构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精准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可控并稳定的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大分子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乃至</w:t>
      </w:r>
      <w:r w:rsidR="00E67E5B" w:rsidRPr="00B12E3B">
        <w:rPr>
          <w:rFonts w:asciiTheme="minorEastAsia" w:eastAsiaTheme="minorEastAsia" w:hAnsiTheme="minorEastAsia" w:hint="eastAsia"/>
          <w:sz w:val="24"/>
          <w:szCs w:val="24"/>
        </w:rPr>
        <w:t>高分子</w:t>
      </w:r>
      <w:r w:rsidR="00E67E5B" w:rsidRPr="00B12E3B">
        <w:rPr>
          <w:rFonts w:asciiTheme="minorEastAsia" w:eastAsiaTheme="minorEastAsia" w:hAnsiTheme="minorEastAsia"/>
          <w:sz w:val="24"/>
          <w:szCs w:val="24"/>
        </w:rPr>
        <w:t>。</w:t>
      </w:r>
      <w:r w:rsidR="00E67E5B" w:rsidRPr="00B12E3B">
        <w:rPr>
          <w:rFonts w:asciiTheme="minorEastAsia" w:eastAsiaTheme="minorEastAsia" w:hAnsiTheme="minorEastAsia" w:hint="eastAsia"/>
          <w:spacing w:val="5"/>
          <w:sz w:val="24"/>
          <w:szCs w:val="24"/>
          <w:lang w:val="it-IT"/>
        </w:rPr>
        <w:t>表面通过二维及一维空间限域、不同吸附位点等固有特征，</w:t>
      </w:r>
      <w:r w:rsidR="00A80908" w:rsidRPr="00B12E3B">
        <w:rPr>
          <w:rFonts w:asciiTheme="minorEastAsia" w:eastAsiaTheme="minorEastAsia" w:hAnsiTheme="minorEastAsia" w:hint="eastAsia"/>
          <w:spacing w:val="5"/>
          <w:sz w:val="24"/>
          <w:szCs w:val="24"/>
          <w:lang w:val="it-IT"/>
        </w:rPr>
        <w:t>为</w:t>
      </w:r>
      <w:r w:rsidR="00E67E5B" w:rsidRPr="00B12E3B">
        <w:rPr>
          <w:rFonts w:asciiTheme="minorEastAsia" w:eastAsiaTheme="minorEastAsia" w:hAnsiTheme="minorEastAsia" w:cs="Arial"/>
          <w:color w:val="333333"/>
          <w:sz w:val="24"/>
          <w:szCs w:val="24"/>
        </w:rPr>
        <w:t>化学反应的精准</w:t>
      </w:r>
      <w:r w:rsidR="00E67E5B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调控、特别是反应选择性控制</w:t>
      </w:r>
      <w:r w:rsidR="00A80908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提供了</w:t>
      </w:r>
      <w:r w:rsidR="00E67E5B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独特途径</w:t>
      </w:r>
      <w:r w:rsidR="00A80908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。</w:t>
      </w:r>
      <w:r w:rsidR="005C1F52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所获分子结构具有可设计性特点</w:t>
      </w:r>
      <w:r w:rsidR="00A80908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，</w:t>
      </w:r>
      <w:r w:rsidR="004E18B4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有利于特殊功能分子结构的</w:t>
      </w:r>
      <w:r w:rsidR="007E6FCA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构建及</w:t>
      </w:r>
      <w:r w:rsidR="004E18B4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实现</w:t>
      </w:r>
      <w:r w:rsidR="00A80908" w:rsidRPr="00B12E3B">
        <w:rPr>
          <w:rFonts w:asciiTheme="minorEastAsia" w:eastAsiaTheme="minorEastAsia" w:hAnsiTheme="minorEastAsia" w:cs="Arial" w:hint="eastAsia"/>
          <w:color w:val="333333"/>
          <w:sz w:val="24"/>
          <w:szCs w:val="24"/>
        </w:rPr>
        <w:t>。</w:t>
      </w:r>
    </w:p>
    <w:p w14:paraId="454049A3" w14:textId="77777777" w:rsidR="005C1F52" w:rsidRPr="00B12E3B" w:rsidRDefault="005C1F52" w:rsidP="00B23A21">
      <w:pPr>
        <w:pStyle w:val="31"/>
        <w:spacing w:before="156" w:after="156" w:line="240" w:lineRule="auto"/>
        <w:ind w:firstLineChars="0" w:firstLine="0"/>
        <w:jc w:val="left"/>
        <w:rPr>
          <w:rFonts w:asciiTheme="minorEastAsia" w:eastAsiaTheme="minorEastAsia" w:hAnsiTheme="minorEastAsia"/>
          <w:b/>
          <w:bCs w:val="0"/>
          <w:sz w:val="24"/>
          <w:szCs w:val="24"/>
          <w:lang w:val="zh-TW" w:eastAsia="zh-TW"/>
        </w:rPr>
      </w:pPr>
      <w:bookmarkStart w:id="5" w:name="_Toc35520638"/>
    </w:p>
    <w:bookmarkEnd w:id="5"/>
    <w:p w14:paraId="2233C412" w14:textId="3E1434EC" w:rsidR="00B23A21" w:rsidRPr="006C6AD1" w:rsidRDefault="00B23A21" w:rsidP="006F5D07">
      <w:pPr>
        <w:pStyle w:val="31"/>
        <w:spacing w:line="240" w:lineRule="auto"/>
        <w:ind w:firstLineChars="0" w:firstLine="0"/>
        <w:jc w:val="left"/>
        <w:rPr>
          <w:rFonts w:eastAsia="Times New Roman"/>
          <w:sz w:val="21"/>
          <w:szCs w:val="21"/>
        </w:rPr>
      </w:pPr>
    </w:p>
    <w:p w14:paraId="086FE521" w14:textId="5949D6DB" w:rsidR="00B23A21" w:rsidRPr="00B12E3B" w:rsidRDefault="00B12E3B" w:rsidP="00B23A21">
      <w:pPr>
        <w:pStyle w:val="31"/>
        <w:spacing w:before="156" w:after="156" w:line="240" w:lineRule="auto"/>
        <w:ind w:firstLineChars="0" w:firstLine="0"/>
        <w:jc w:val="left"/>
        <w:rPr>
          <w:rFonts w:asciiTheme="majorEastAsia" w:eastAsiaTheme="majorEastAsia" w:hAnsiTheme="majorEastAsia"/>
          <w:b/>
          <w:bCs w:val="0"/>
          <w:sz w:val="24"/>
          <w:szCs w:val="24"/>
          <w:lang w:val="zh-TW" w:eastAsia="zh-TW"/>
        </w:rPr>
      </w:pPr>
      <w:r w:rsidRPr="00B12E3B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789B79F" wp14:editId="5E730364">
                <wp:simplePos x="0" y="0"/>
                <wp:positionH relativeFrom="margin">
                  <wp:posOffset>1488141</wp:posOffset>
                </wp:positionH>
                <wp:positionV relativeFrom="line">
                  <wp:posOffset>43926</wp:posOffset>
                </wp:positionV>
                <wp:extent cx="4069080" cy="2321859"/>
                <wp:effectExtent l="0" t="0" r="0" b="2540"/>
                <wp:wrapNone/>
                <wp:docPr id="40" name="矩形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069080" cy="232185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6E90A9C" w14:textId="42CCF3B4" w:rsidR="00B23A21" w:rsidRDefault="002D2862" w:rsidP="00DC476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迟</w:t>
                            </w:r>
                            <w:r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力峰，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苏州</w:t>
                            </w:r>
                            <w:r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大学功能纳米与软物质研究院</w:t>
                            </w:r>
                            <w:r w:rsidR="00B23A21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 w:eastAsia="zh-TW"/>
                              </w:rPr>
                              <w:t>，博士生导师。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1982年和1985</w:t>
                            </w:r>
                            <w:r w:rsidR="00B23A21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 w:eastAsia="zh-TW"/>
                              </w:rPr>
                              <w:t>年</w:t>
                            </w:r>
                            <w:r w:rsidR="00E457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于</w:t>
                            </w:r>
                            <w:r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吉林大学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分别获</w:t>
                            </w:r>
                            <w:r w:rsidR="00B23A21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 w:eastAsia="zh-TW"/>
                              </w:rPr>
                              <w:t>学士和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硕士</w:t>
                            </w:r>
                            <w:r w:rsidR="00B23A21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 w:eastAsia="zh-TW"/>
                              </w:rPr>
                              <w:t>学位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，1989年</w:t>
                            </w:r>
                            <w:r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 w:eastAsia="zh-TW"/>
                              </w:rPr>
                              <w:t>在</w:t>
                            </w:r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德国</w:t>
                            </w:r>
                            <w:r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哥廷根大学获博士学位。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016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获美国ACS Nano Lectureship奖，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2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017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获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IUPAC化学化工杰出女性奖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。2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020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年入选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欧洲科学院外籍院士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 xml:space="preserve">， 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2021</w:t>
                            </w:r>
                            <w:r w:rsidR="00B12E3B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年当选中国科学院院士。</w:t>
                            </w:r>
                          </w:p>
                          <w:p w14:paraId="4BAE076C" w14:textId="77777777" w:rsidR="00664225" w:rsidRPr="00B12E3B" w:rsidRDefault="00664225" w:rsidP="00DC476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</w:p>
                          <w:p w14:paraId="5548B8C5" w14:textId="0E51D203" w:rsidR="00B23A21" w:rsidRPr="00B12E3B" w:rsidRDefault="00B23A21" w:rsidP="00DC4763">
                            <w:pPr>
                              <w:snapToGrid w:val="0"/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</w:pPr>
                            <w:bookmarkStart w:id="6" w:name="_Toc35520647"/>
                            <w:r w:rsidRPr="00B12E3B">
                              <w:rPr>
                                <w:rFonts w:asciiTheme="majorEastAsia" w:eastAsiaTheme="majorEastAsia" w:hAnsiTheme="majorEastAsia" w:hint="eastAsia"/>
                                <w:b/>
                                <w:bCs/>
                                <w:sz w:val="24"/>
                                <w:szCs w:val="24"/>
                                <w:lang w:val="zh-TW" w:eastAsia="zh-TW"/>
                              </w:rPr>
                              <w:t>研究方向：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表界面分子与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超分子化学，</w:t>
                            </w:r>
                            <w:bookmarkEnd w:id="6"/>
                            <w:r w:rsidR="002D2862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表界面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调控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与智能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响应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  <w:lang w:val="zh-TW"/>
                              </w:rPr>
                              <w:t>，</w:t>
                            </w:r>
                            <w:r w:rsidR="002D2862" w:rsidRPr="00B12E3B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  <w:lang w:val="zh-TW"/>
                              </w:rPr>
                              <w:t>扫描探针显微镜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9B79F" id="矩形 40" o:spid="_x0000_s1026" style="position:absolute;margin-left:117.2pt;margin-top:3.45pt;width:320.4pt;height:182.8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" filled="f" stroked="f" strokeweight="1pt">
                <v:stroke miterlimit="4"/>
                <v:textbox inset="1.27mm,1.27mm,1.27mm,1.27mm">
                  <w:txbxContent>
                    <w:p w14:paraId="26E90A9C" w14:textId="42CCF3B4" w:rsidR="00B23A21" w:rsidRDefault="002D2862" w:rsidP="00DC476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迟</w:t>
                      </w:r>
                      <w:r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力峰，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苏州</w:t>
                      </w:r>
                      <w:r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大学功能纳米与软物质研究院</w:t>
                      </w:r>
                      <w:r w:rsidR="00B23A21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 w:eastAsia="zh-TW"/>
                        </w:rPr>
                        <w:t>，博士生导师。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1982年和1985</w:t>
                      </w:r>
                      <w:r w:rsidR="00B23A21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 w:eastAsia="zh-TW"/>
                        </w:rPr>
                        <w:t>年</w:t>
                      </w:r>
                      <w:r w:rsidR="00E457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于</w:t>
                      </w:r>
                      <w:r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吉林大学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分别获</w:t>
                      </w:r>
                      <w:r w:rsidR="00B23A21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 w:eastAsia="zh-TW"/>
                        </w:rPr>
                        <w:t>学士和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硕士</w:t>
                      </w:r>
                      <w:r w:rsidR="00B23A21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 w:eastAsia="zh-TW"/>
                        </w:rPr>
                        <w:t>学位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，1989年</w:t>
                      </w:r>
                      <w:r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 w:eastAsia="zh-TW"/>
                        </w:rPr>
                        <w:t>在</w:t>
                      </w:r>
                      <w:r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德国</w:t>
                      </w:r>
                      <w:r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哥廷根大学获博士学位。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016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获美国ACS Nano Lectureship奖，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2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017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获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IUPAC化学化工杰出女性奖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。2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020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年入选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欧洲科学院外籍院士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 xml:space="preserve">， </w:t>
                      </w:r>
                      <w:r w:rsidR="00B12E3B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2021</w:t>
                      </w:r>
                      <w:r w:rsidR="00B12E3B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年当选中国科学院院士。</w:t>
                      </w:r>
                    </w:p>
                    <w:p w14:paraId="4BAE076C" w14:textId="77777777" w:rsidR="00664225" w:rsidRPr="00B12E3B" w:rsidRDefault="00664225" w:rsidP="00DC4763">
                      <w:pPr>
                        <w:snapToGrid w:val="0"/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</w:p>
                    <w:p w14:paraId="5548B8C5" w14:textId="0E51D203" w:rsidR="00B23A21" w:rsidRPr="00B12E3B" w:rsidRDefault="00B23A21" w:rsidP="00DC4763">
                      <w:pPr>
                        <w:snapToGrid w:val="0"/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</w:pPr>
                      <w:bookmarkStart w:id="7" w:name="_Toc35520647"/>
                      <w:r w:rsidRPr="00B12E3B">
                        <w:rPr>
                          <w:rFonts w:asciiTheme="majorEastAsia" w:eastAsiaTheme="majorEastAsia" w:hAnsiTheme="majorEastAsia" w:hint="eastAsia"/>
                          <w:b/>
                          <w:bCs/>
                          <w:sz w:val="24"/>
                          <w:szCs w:val="24"/>
                          <w:lang w:val="zh-TW" w:eastAsia="zh-TW"/>
                        </w:rPr>
                        <w:t>研究方向：</w:t>
                      </w:r>
                      <w:r w:rsidR="002D2862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表界面分子与</w:t>
                      </w:r>
                      <w:r w:rsidR="002D2862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超分子化学，</w:t>
                      </w:r>
                      <w:bookmarkEnd w:id="7"/>
                      <w:r w:rsidR="002D2862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表界面</w:t>
                      </w:r>
                      <w:r w:rsidR="002D2862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调控</w:t>
                      </w:r>
                      <w:r w:rsidR="002D2862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与智能</w:t>
                      </w:r>
                      <w:r w:rsidR="002D2862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响应</w:t>
                      </w:r>
                      <w:r w:rsidR="002D2862" w:rsidRPr="00B12E3B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  <w:lang w:val="zh-TW"/>
                        </w:rPr>
                        <w:t>，</w:t>
                      </w:r>
                      <w:r w:rsidR="002D2862" w:rsidRPr="00B12E3B">
                        <w:rPr>
                          <w:rFonts w:asciiTheme="majorEastAsia" w:eastAsiaTheme="majorEastAsia" w:hAnsiTheme="majorEastAsia"/>
                          <w:sz w:val="24"/>
                          <w:szCs w:val="24"/>
                          <w:lang w:val="zh-TW"/>
                        </w:rPr>
                        <w:t>扫描探针显微镜</w:t>
                      </w:r>
                    </w:p>
                  </w:txbxContent>
                </v:textbox>
                <w10:wrap anchorx="margin" anchory="line"/>
              </v:rect>
            </w:pict>
          </mc:Fallback>
        </mc:AlternateContent>
      </w:r>
      <w:r w:rsidR="00DC4763" w:rsidRPr="00B12E3B">
        <w:rPr>
          <w:rFonts w:asciiTheme="majorEastAsia" w:eastAsiaTheme="majorEastAsia" w:hAnsiTheme="majorEastAsia"/>
          <w:noProof/>
          <w:color w:val="00000A"/>
        </w:rPr>
        <w:drawing>
          <wp:anchor distT="0" distB="0" distL="114300" distR="114300" simplePos="0" relativeHeight="251662336" behindDoc="0" locked="0" layoutInCell="1" allowOverlap="1" wp14:anchorId="38B0C60C" wp14:editId="63115BF6">
            <wp:simplePos x="0" y="0"/>
            <wp:positionH relativeFrom="column">
              <wp:posOffset>-45720</wp:posOffset>
            </wp:positionH>
            <wp:positionV relativeFrom="paragraph">
              <wp:posOffset>402590</wp:posOffset>
            </wp:positionV>
            <wp:extent cx="1017270" cy="1540510"/>
            <wp:effectExtent l="0" t="0" r="0" b="2540"/>
            <wp:wrapSquare wrapText="bothSides"/>
            <wp:docPr id="2" name="图片 2" descr="C:\Users\Chi\AppData\Local\Temp\WeChat Files\2747e0448aa00f026e531e3370f33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i\AppData\Local\Temp\WeChat Files\2747e0448aa00f026e531e3370f33c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27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7" w:name="_Toc35520644"/>
      <w:r w:rsidR="00B23A21" w:rsidRPr="00B12E3B">
        <w:rPr>
          <w:rFonts w:asciiTheme="majorEastAsia" w:eastAsiaTheme="majorEastAsia" w:hAnsiTheme="majorEastAsia"/>
          <w:b/>
          <w:bCs w:val="0"/>
          <w:sz w:val="24"/>
          <w:szCs w:val="24"/>
          <w:lang w:val="zh-TW" w:eastAsia="zh-TW"/>
        </w:rPr>
        <w:t>个人简介</w:t>
      </w:r>
      <w:bookmarkStart w:id="8" w:name="_Toc35520645"/>
      <w:bookmarkEnd w:id="7"/>
    </w:p>
    <w:bookmarkEnd w:id="8"/>
    <w:p w14:paraId="47B5E1A1" w14:textId="604C7838" w:rsidR="00B23A21" w:rsidRPr="006C6AD1" w:rsidRDefault="00B23A21" w:rsidP="00B23A21">
      <w:pPr>
        <w:pStyle w:val="31"/>
        <w:spacing w:before="156" w:after="156" w:line="240" w:lineRule="auto"/>
        <w:ind w:firstLineChars="0" w:firstLine="0"/>
        <w:jc w:val="left"/>
        <w:rPr>
          <w:rFonts w:eastAsia="Times New Roman"/>
          <w:b/>
          <w:bCs w:val="0"/>
          <w:sz w:val="24"/>
          <w:szCs w:val="24"/>
        </w:rPr>
      </w:pPr>
    </w:p>
    <w:p w14:paraId="4DBC80E1" w14:textId="4A334CC9" w:rsidR="00605B9C" w:rsidRPr="00A03001" w:rsidRDefault="00605B9C" w:rsidP="00A03001">
      <w:pPr>
        <w:widowControl/>
        <w:jc w:val="left"/>
        <w:rPr>
          <w:rFonts w:ascii="Times New Roman" w:eastAsia="华文宋体" w:hAnsi="Times New Roman"/>
          <w:color w:val="000000"/>
          <w:sz w:val="28"/>
          <w:szCs w:val="28"/>
        </w:rPr>
      </w:pPr>
    </w:p>
    <w:sectPr w:rsidR="00605B9C" w:rsidRPr="00A03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AC8EB" w14:textId="77777777" w:rsidR="00D65E00" w:rsidRDefault="00D65E00" w:rsidP="00B23A21">
      <w:r>
        <w:separator/>
      </w:r>
    </w:p>
  </w:endnote>
  <w:endnote w:type="continuationSeparator" w:id="0">
    <w:p w14:paraId="5FD0DAFB" w14:textId="77777777" w:rsidR="00D65E00" w:rsidRDefault="00D65E00" w:rsidP="00B2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91458" w14:textId="77777777" w:rsidR="00D65E00" w:rsidRDefault="00D65E00" w:rsidP="00B23A21">
      <w:r>
        <w:separator/>
      </w:r>
    </w:p>
  </w:footnote>
  <w:footnote w:type="continuationSeparator" w:id="0">
    <w:p w14:paraId="131B06E1" w14:textId="77777777" w:rsidR="00D65E00" w:rsidRDefault="00D65E00" w:rsidP="00B23A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C21584"/>
    <w:multiLevelType w:val="hybridMultilevel"/>
    <w:tmpl w:val="E486A3FC"/>
    <w:lvl w:ilvl="0" w:tplc="CF244F7E">
      <w:start w:val="1"/>
      <w:numFmt w:val="decimal"/>
      <w:lvlText w:val="%1."/>
      <w:lvlJc w:val="left"/>
      <w:pPr>
        <w:ind w:left="360" w:hanging="360"/>
      </w:pPr>
      <w:rPr>
        <w:rFonts w:ascii="等线" w:eastAsia="等线" w:hAnsi="等线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D10"/>
    <w:rsid w:val="00002B47"/>
    <w:rsid w:val="0000379F"/>
    <w:rsid w:val="00024866"/>
    <w:rsid w:val="00032EB6"/>
    <w:rsid w:val="000A46EA"/>
    <w:rsid w:val="000B5CDD"/>
    <w:rsid w:val="000E4895"/>
    <w:rsid w:val="00105F5D"/>
    <w:rsid w:val="0019461D"/>
    <w:rsid w:val="00195A00"/>
    <w:rsid w:val="002301F5"/>
    <w:rsid w:val="00247134"/>
    <w:rsid w:val="00250C2D"/>
    <w:rsid w:val="002637CC"/>
    <w:rsid w:val="002901C9"/>
    <w:rsid w:val="002A21AC"/>
    <w:rsid w:val="002A237D"/>
    <w:rsid w:val="002A391D"/>
    <w:rsid w:val="002B14E2"/>
    <w:rsid w:val="002C5B1B"/>
    <w:rsid w:val="002D2862"/>
    <w:rsid w:val="002E24FF"/>
    <w:rsid w:val="00314398"/>
    <w:rsid w:val="0034794B"/>
    <w:rsid w:val="003550D4"/>
    <w:rsid w:val="0039229F"/>
    <w:rsid w:val="00394A81"/>
    <w:rsid w:val="00396AC0"/>
    <w:rsid w:val="003C2EB2"/>
    <w:rsid w:val="003D04D4"/>
    <w:rsid w:val="00400E24"/>
    <w:rsid w:val="00435D38"/>
    <w:rsid w:val="00462BB8"/>
    <w:rsid w:val="00494CA8"/>
    <w:rsid w:val="00494F73"/>
    <w:rsid w:val="00495409"/>
    <w:rsid w:val="004B1BF6"/>
    <w:rsid w:val="004C5025"/>
    <w:rsid w:val="004C5A2F"/>
    <w:rsid w:val="004E18B4"/>
    <w:rsid w:val="005077A5"/>
    <w:rsid w:val="00522B9D"/>
    <w:rsid w:val="0055298B"/>
    <w:rsid w:val="00554DBC"/>
    <w:rsid w:val="005C1F52"/>
    <w:rsid w:val="005D472B"/>
    <w:rsid w:val="005F4795"/>
    <w:rsid w:val="00602EBF"/>
    <w:rsid w:val="00605B9C"/>
    <w:rsid w:val="00624B48"/>
    <w:rsid w:val="006633E8"/>
    <w:rsid w:val="00664225"/>
    <w:rsid w:val="006943D2"/>
    <w:rsid w:val="006946CA"/>
    <w:rsid w:val="006F5D07"/>
    <w:rsid w:val="00711692"/>
    <w:rsid w:val="00715CD6"/>
    <w:rsid w:val="00737E80"/>
    <w:rsid w:val="00745330"/>
    <w:rsid w:val="007B2638"/>
    <w:rsid w:val="007D023D"/>
    <w:rsid w:val="007E6FCA"/>
    <w:rsid w:val="007F21D1"/>
    <w:rsid w:val="007F5B71"/>
    <w:rsid w:val="00815FC5"/>
    <w:rsid w:val="0086386E"/>
    <w:rsid w:val="008B3E45"/>
    <w:rsid w:val="008B54A9"/>
    <w:rsid w:val="008D7321"/>
    <w:rsid w:val="008E32C9"/>
    <w:rsid w:val="008E79C8"/>
    <w:rsid w:val="0091244B"/>
    <w:rsid w:val="00930EA3"/>
    <w:rsid w:val="00947DCE"/>
    <w:rsid w:val="00970447"/>
    <w:rsid w:val="00973D7B"/>
    <w:rsid w:val="00984AA8"/>
    <w:rsid w:val="00994B60"/>
    <w:rsid w:val="009E7DC2"/>
    <w:rsid w:val="00A03001"/>
    <w:rsid w:val="00A30E10"/>
    <w:rsid w:val="00A32805"/>
    <w:rsid w:val="00A72496"/>
    <w:rsid w:val="00A80908"/>
    <w:rsid w:val="00AA6B4F"/>
    <w:rsid w:val="00AB48A3"/>
    <w:rsid w:val="00AD56C6"/>
    <w:rsid w:val="00B12E3B"/>
    <w:rsid w:val="00B23A21"/>
    <w:rsid w:val="00B27F65"/>
    <w:rsid w:val="00BB00B5"/>
    <w:rsid w:val="00BB2106"/>
    <w:rsid w:val="00BE1E0B"/>
    <w:rsid w:val="00BF561D"/>
    <w:rsid w:val="00C07639"/>
    <w:rsid w:val="00C33B6E"/>
    <w:rsid w:val="00C44B2F"/>
    <w:rsid w:val="00C51D10"/>
    <w:rsid w:val="00C72FD5"/>
    <w:rsid w:val="00CA3156"/>
    <w:rsid w:val="00CF1B15"/>
    <w:rsid w:val="00D00294"/>
    <w:rsid w:val="00D1629F"/>
    <w:rsid w:val="00D35389"/>
    <w:rsid w:val="00D65E00"/>
    <w:rsid w:val="00DC30D1"/>
    <w:rsid w:val="00DC4763"/>
    <w:rsid w:val="00DD4077"/>
    <w:rsid w:val="00DE123B"/>
    <w:rsid w:val="00E04F2D"/>
    <w:rsid w:val="00E4573B"/>
    <w:rsid w:val="00E67E5B"/>
    <w:rsid w:val="00E83DAD"/>
    <w:rsid w:val="00F12F67"/>
    <w:rsid w:val="00F34428"/>
    <w:rsid w:val="00F727D8"/>
    <w:rsid w:val="00F734C9"/>
    <w:rsid w:val="00FA32D3"/>
    <w:rsid w:val="00FA63E6"/>
    <w:rsid w:val="00FD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7BFA3"/>
  <w15:docId w15:val="{FD71F83F-9035-475A-8777-64B33326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A21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0"/>
    <w:uiPriority w:val="9"/>
    <w:unhideWhenUsed/>
    <w:qFormat/>
    <w:rsid w:val="00B23A21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3A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23A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23A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23A21"/>
    <w:rPr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B23A21"/>
    <w:rPr>
      <w:rFonts w:ascii="Calibri" w:eastAsia="宋体" w:hAnsi="Calibri" w:cs="Times New Roman"/>
      <w:b/>
      <w:bCs/>
      <w:kern w:val="0"/>
      <w:sz w:val="32"/>
      <w:szCs w:val="32"/>
      <w:lang w:val="x-none" w:eastAsia="x-none"/>
    </w:rPr>
  </w:style>
  <w:style w:type="paragraph" w:customStyle="1" w:styleId="31">
    <w:name w:val="正文3"/>
    <w:basedOn w:val="a"/>
    <w:qFormat/>
    <w:rsid w:val="00B23A21"/>
    <w:pPr>
      <w:spacing w:line="520" w:lineRule="exact"/>
      <w:ind w:firstLineChars="200" w:firstLine="600"/>
    </w:pPr>
    <w:rPr>
      <w:rFonts w:ascii="Times New Roman" w:eastAsia="仿宋_GB2312" w:hAnsi="Times New Roman"/>
      <w:bCs/>
      <w:sz w:val="30"/>
      <w:szCs w:val="30"/>
    </w:rPr>
  </w:style>
  <w:style w:type="paragraph" w:customStyle="1" w:styleId="41">
    <w:name w:val="标题 41"/>
    <w:rsid w:val="00B23A21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kern w:val="0"/>
      <w:sz w:val="20"/>
      <w:szCs w:val="20"/>
      <w:u w:color="000000"/>
      <w:bdr w:val="nil"/>
    </w:rPr>
  </w:style>
  <w:style w:type="paragraph" w:styleId="a7">
    <w:name w:val="footnote text"/>
    <w:link w:val="a8"/>
    <w:rsid w:val="00B23A21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18"/>
      <w:szCs w:val="18"/>
      <w:u w:color="000000"/>
      <w:bdr w:val="nil"/>
    </w:rPr>
  </w:style>
  <w:style w:type="character" w:customStyle="1" w:styleId="a8">
    <w:name w:val="脚注文本 字符"/>
    <w:basedOn w:val="a0"/>
    <w:link w:val="a7"/>
    <w:rsid w:val="00B23A21"/>
    <w:rPr>
      <w:rFonts w:ascii="Calibri" w:eastAsia="Calibri" w:hAnsi="Calibri" w:cs="Calibri"/>
      <w:color w:val="000000"/>
      <w:sz w:val="18"/>
      <w:szCs w:val="18"/>
      <w:u w:color="000000"/>
      <w:bdr w:val="nil"/>
    </w:rPr>
  </w:style>
  <w:style w:type="character" w:styleId="a9">
    <w:name w:val="footnote reference"/>
    <w:uiPriority w:val="99"/>
    <w:semiHidden/>
    <w:unhideWhenUsed/>
    <w:rsid w:val="00B23A21"/>
    <w:rPr>
      <w:vertAlign w:val="superscript"/>
    </w:rPr>
  </w:style>
  <w:style w:type="paragraph" w:customStyle="1" w:styleId="07headings">
    <w:name w:val="07.headings"/>
    <w:basedOn w:val="a"/>
    <w:rsid w:val="00C33B6E"/>
    <w:pPr>
      <w:widowControl/>
      <w:spacing w:before="280" w:line="480" w:lineRule="auto"/>
      <w:jc w:val="left"/>
    </w:pPr>
    <w:rPr>
      <w:rFonts w:ascii="Times New Roman" w:hAnsi="Times New Roman"/>
      <w:b/>
      <w:kern w:val="0"/>
      <w:sz w:val="28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049BD-DF91-4A98-838F-E857CE0DE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>神州网信技术有限公司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Chi</cp:lastModifiedBy>
  <cp:revision>2</cp:revision>
  <cp:lastPrinted>2022-08-26T02:27:00Z</cp:lastPrinted>
  <dcterms:created xsi:type="dcterms:W3CDTF">2023-02-14T06:42:00Z</dcterms:created>
  <dcterms:modified xsi:type="dcterms:W3CDTF">2023-02-14T06:42:00Z</dcterms:modified>
</cp:coreProperties>
</file>